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br w:type="textWrapping"/>
        <w:t xml:space="preserve">Благотворительный фонд «Добрый город Петербург» запустил сразу 2 конкурса социальных проектов для старшего поколения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Мы предлагаем принять участие в конкурсах инициативным группам, которые создают социальные проекты для старшего поколения или вместе со старшими.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Заявки принимаем с 15 февраля до 12 марта.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Оба конкурса 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«Активное поколение 2021» и «СТАРШИЕ»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преследуют одну и ту же цель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поддержать тех, кто показывает альтернативные модели жизни в возрасте 50 + и готов при поддержке фонда реализовывать проекты по решению общественных проблем, привлекая старших и местные сообщества. Конкурс «СТАРШИЕ»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всероссийский, он ориентирован на социальные проекты для инициативных групп из всех городов и поселков страны. А «Активное поколение 2021»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– только на тех, кто проживает в малых городах и селах численностью населения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15 000 человек.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Мечтаете провести фестиваль в своем дворе, организовать курсы, создать клуб по интересам, помочь нуждающимся или, быть может, создать новое культурное пространство? Если вам и другим участникам вашей команды больше 55 лет, то это ваш шанс. А если вы работаете над проектом, который связан с решением проблем и улучшением качества жизни старших, то также можете побороться за грант. Правда, в составе вашей инициативной группы должен быть хотя бы 1 человек старше 55 лет.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«Общество становится старше, и в скором времени каждому 4-му россиянину будет больше 60 лет. При этом меняется жизнь, меняются поколения и потребности. Мы знаем, что достойная жизнь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— это конечно, и финансы, и здоровье, и социальная защита. Но также достойная и счастливая жизнь — это возможность 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олучать удовольствие, реализовывать себя, заниматься тем, что интересно. И быть в компании единомышленников, общаться. Для нас важно, чтобы сами старшие могли проявить инициативу и свой голос. Пробовать и делать, получая поддержку. Поэтому наш конкурс направлен на поддержку инициативных групп, в которые люди объединяются для решения проблем на местном уровне»,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рассказала Наталия Канальцева, руководитель грантового направления благотворительного фонда «Добрый город Петербург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получат финансовую помощь в размере 30 тысяч рублей на реализацию своего проекта. Им также будет оказана экспертная поддержка: как во время конкурса, так и после его окончания. Для финалистов мы создадим сообщество выпускников конкурса, где будет можно будет найти всю полезную для социального проектирования информацию и встретить единомышленников.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Заявки на конкурс принимаются с 15 февраля по 12 марта 2021 года.</w:t>
        <w:br w:type="textWrapping"/>
        <w:t xml:space="preserve">Результаты конкурсного отбора будут объявлены после 9 апреля 2021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Сроки реализации проектов: с 1 мая по 8 октября.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«СТАРШИЕ» – всероссийский конкурс социальных проектов для инициативных групп из всех городов и поселков России. Условия участия в конкурсе, критерии отбора и требования к участникам опубликованы на сайте конкурса: grants.dobrygorod.spb.ru/starshie.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«Активное поколение» – конкурс социальных проектов для инициативных групп конкурс социальных проектов для инициативных групп из малых городов и сел до 15000 жителей. Условия участия в конкурсе, критерии отбора и требования к участникам опубликованы на сайте конкурса: grants.dobrygorod.spb.ru/aktivnoe_pokolenie.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дополнительной информацией обращайтесь к руководителю конкурса – Наталии Канальцевой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n.kanaltseva@dobrygorod.spb.ru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грантовому менеджеру – Снежане Малясовой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grants@dobrygorod.spb.ru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highlight w:val="white"/>
          <w:rtl w:val="0"/>
        </w:rPr>
        <w:t xml:space="preserve">Для справки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  <w:rtl w:val="0"/>
        </w:rPr>
        <w:br w:type="textWrapping"/>
        <w:t xml:space="preserve">Конкурс «СТАРШИЕ» реализуется на средства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Межрегионального фонда целевого капитала «Социальные инновации». Он был создан в 2019-2020 году и стал первым тематическим целевым капиталом для поддержки старшего поколения в регионах России.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  <w:rtl w:val="0"/>
        </w:rPr>
        <w:t xml:space="preserve">Конкурс «Активное поколение» реализуется при поддержке Благотворительного фонда Елены и Геннадия Тимченко.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 организаторах</w:t>
        <w:br w:type="textWrapping"/>
        <w:br w:type="textWrapping"/>
        <w:t xml:space="preserve">Благотворительный фонд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«Добрый город Петербург»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Главная цель фонда «Добрый город Петербург» – поддержать развитие благотворительности и добровольческой деятельности. Фонд объединяет ресурсы горожан и бизнеса и направляет их на решение актуальных городских задач. «Добрый город Петербург» проводит благотворительные акции, реализует социальные программы, конкурсы на предоставление финансирования проектов. Фонд помогает людям и компаниям участвовать в жизни города, активно включаться в его развитие, помогать другим и получать помощь. Адрес для корреспонденции: 191040, г. Санкт-Петербург, Лиговский проспект, 87, офис 300</w:t>
        <w:br w:type="textWrapping"/>
        <w:t xml:space="preserve">Сайт фонда: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1"/>
            <w:szCs w:val="21"/>
            <w:rtl w:val="0"/>
          </w:rPr>
          <w:t xml:space="preserve">https://dobrygorod.spb.ru/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БФ Елены и Геннадия Тимченко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«Фонд Тимченко» – сокращенное название Благотворительного фонда Елены и Геннадия Тимченко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http://timchenkofoundation.org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), который был создан в Москве в 2010 году и до конца августа 2013-го носил имя «Ладога». Деятельность Фонда нацелена на системное решение социальных проблем в России. В числе ее ключевых направлений – поддержка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старшего поколения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развитие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спорта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и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культуры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помощь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семье и детям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фонд поддерживает социальную сферу и способствует развитию местной благотворительности. Для фонда важно, чтобы в будущем инициированные фондом процессы могли функционировать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основе работы фонда – принципы прозрачности и личной ответственности учредителей – супругов Тимченко, которые занимаются благотворительностью вот уже более 20 лет. Используя и поддерживая лучшие практики отечественной и мировой благотворительности, фонд формирует новое будущее семейной филантропии в России – открытой, последовательной и ориентированной на долгосрочную перспективу. </w:t>
      </w:r>
    </w:p>
    <w:p w:rsidR="00000000" w:rsidDel="00000000" w:rsidP="00000000" w:rsidRDefault="00000000" w:rsidRPr="00000000" w14:paraId="00000018">
      <w:pPr>
        <w:spacing w:after="160" w:before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1"/>
          <w:szCs w:val="21"/>
          <w:rtl w:val="0"/>
        </w:rPr>
        <w:t xml:space="preserve">Межрегионального фонда целевого капитала «Социальные инновации» (</w:t>
      </w:r>
      <w:hyperlink r:id="rId1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highlight w:val="white"/>
            <w:rtl w:val="0"/>
          </w:rPr>
          <w:t xml:space="preserve">http://social-innovations.ru/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1"/>
          <w:szCs w:val="21"/>
          <w:rtl w:val="0"/>
        </w:rPr>
        <w:t xml:space="preserve"> создан в 2019-2020 году и стал первым тематическим целевым капиталом для поддержки старшего поколения в регионах России.</w:t>
        <w:br w:type="textWrapping"/>
        <w:t xml:space="preserve"> </w:t>
      </w: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1134" w:top="1134" w:left="1701" w:right="85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600"/>
        <w:tab w:val="center" w:pos="4677"/>
        <w:tab w:val="center" w:pos="538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4510" cy="561340"/>
          <wp:effectExtent b="0" l="0" r="0" t="0"/>
          <wp:docPr id="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10" cy="561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04265" cy="605155"/>
          <wp:effectExtent b="0" l="0" r="0" t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265" cy="605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78255" cy="395605"/>
          <wp:effectExtent b="0" l="0" r="0" t="0"/>
          <wp:docPr descr="C:\Users\Nastya Oborina\Documents\НОВЫЕ КЛИЕНТЫ\ФОНДЫ ТИМЧЕНКО\Фирменный стиль\Лого с новым цветом\gradient.jpg" id="10" name="image3.jpg"/>
          <a:graphic>
            <a:graphicData uri="http://schemas.openxmlformats.org/drawingml/2006/picture">
              <pic:pic>
                <pic:nvPicPr>
                  <pic:cNvPr descr="C:\Users\Nastya Oborina\Documents\НОВЫЕ КЛИЕНТЫ\ФОНДЫ ТИМЧЕНКО\Фирменный стиль\Лого с новым цветом\gradient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8255" cy="3956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3275330</wp:posOffset>
          </wp:positionH>
          <wp:positionV relativeFrom="paragraph">
            <wp:posOffset>71755</wp:posOffset>
          </wp:positionV>
          <wp:extent cx="1118870" cy="528955"/>
          <wp:effectExtent b="0" l="0" r="0" t="0"/>
          <wp:wrapSquare wrapText="bothSides" distB="0" distT="0" distL="114300" distR="114300"/>
          <wp:docPr descr="Z:\Timchenko_foundation\PR-служба\2016\Инфоподдержка программыСТАРШЕЕ ПОКОЛЕНИЕ\Активное поколение\Активное поколение_запуск конкурса 2016\финал для рассылки\Активное поколение.png" id="7" name="image2.png"/>
          <a:graphic>
            <a:graphicData uri="http://schemas.openxmlformats.org/drawingml/2006/picture">
              <pic:pic>
                <pic:nvPicPr>
                  <pic:cNvPr descr="Z:\Timchenko_foundation\PR-служба\2016\Инфоподдержка программыСТАРШЕЕ ПОКОЛЕНИЕ\Активное поколение\Активное поколение_запуск конкурса 2016\финал для рассылки\Активное поколение.png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8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4475480</wp:posOffset>
          </wp:positionH>
          <wp:positionV relativeFrom="paragraph">
            <wp:posOffset>160020</wp:posOffset>
          </wp:positionV>
          <wp:extent cx="1139825" cy="346710"/>
          <wp:effectExtent b="0" l="0" r="0" t="0"/>
          <wp:wrapSquare wrapText="bothSides" distB="0" distT="0" distL="0" distR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825" cy="346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>
    <w:name w:val="Интернет-ссылка"/>
    <w:basedOn w:val="DefaultParagraphFont"/>
    <w:uiPriority w:val="99"/>
    <w:unhideWhenUsed w:val="1"/>
    <w:rsid w:val="005C6FB2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 w:val="1"/>
    <w:rsid w:val="00F51087"/>
    <w:rPr>
      <w:i w:val="1"/>
      <w:iCs w:val="1"/>
    </w:rPr>
  </w:style>
  <w:style w:type="character" w:styleId="Style16">
    <w:name w:val="Посещённая гиперссылка"/>
    <w:basedOn w:val="DefaultParagraphFont"/>
    <w:uiPriority w:val="99"/>
    <w:semiHidden w:val="1"/>
    <w:unhideWhenUsed w:val="1"/>
    <w:rsid w:val="008E21EE"/>
    <w:rPr>
      <w:color w:val="954f72" w:themeColor="followedHyperlink"/>
      <w:u w:val="single"/>
    </w:rPr>
  </w:style>
  <w:style w:type="character" w:styleId="Style17" w:customStyle="1">
    <w:name w:val="Верхний колонтитул Знак"/>
    <w:basedOn w:val="DefaultParagraphFont"/>
    <w:link w:val="a6"/>
    <w:uiPriority w:val="99"/>
    <w:qFormat w:val="1"/>
    <w:rsid w:val="00C80CD1"/>
    <w:rPr/>
  </w:style>
  <w:style w:type="character" w:styleId="Style18" w:customStyle="1">
    <w:name w:val="Нижний колонтитул Знак"/>
    <w:basedOn w:val="DefaultParagraphFont"/>
    <w:link w:val="a8"/>
    <w:uiPriority w:val="99"/>
    <w:qFormat w:val="1"/>
    <w:rsid w:val="00C80CD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7F4881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c"/>
    <w:uiPriority w:val="99"/>
    <w:semiHidden w:val="1"/>
    <w:qFormat w:val="1"/>
    <w:rsid w:val="007F4881"/>
    <w:rPr>
      <w:sz w:val="20"/>
      <w:szCs w:val="20"/>
    </w:rPr>
  </w:style>
  <w:style w:type="character" w:styleId="Style20" w:customStyle="1">
    <w:name w:val="Тема примечания Знак"/>
    <w:basedOn w:val="Style19"/>
    <w:link w:val="ae"/>
    <w:uiPriority w:val="99"/>
    <w:semiHidden w:val="1"/>
    <w:qFormat w:val="1"/>
    <w:rsid w:val="007F4881"/>
    <w:rPr>
      <w:b w:val="1"/>
      <w:bCs w:val="1"/>
      <w:sz w:val="20"/>
      <w:szCs w:val="20"/>
    </w:rPr>
  </w:style>
  <w:style w:type="character" w:styleId="Style21" w:customStyle="1">
    <w:name w:val="Текст выноски Знак"/>
    <w:basedOn w:val="DefaultParagraphFont"/>
    <w:link w:val="af0"/>
    <w:uiPriority w:val="99"/>
    <w:semiHidden w:val="1"/>
    <w:qFormat w:val="1"/>
    <w:rsid w:val="007F4881"/>
    <w:rPr>
      <w:rFonts w:ascii="Segoe UI" w:cs="Segoe UI" w:hAnsi="Segoe UI"/>
      <w:sz w:val="18"/>
      <w:szCs w:val="18"/>
    </w:rPr>
  </w:style>
  <w:style w:type="paragraph" w:styleId="Style22">
    <w:name w:val="Заголовок"/>
    <w:basedOn w:val="Normal"/>
    <w:next w:val="Style23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23">
    <w:name w:val="Body Text"/>
    <w:basedOn w:val="Normal"/>
    <w:pPr>
      <w:spacing w:after="140" w:before="0" w:line="276" w:lineRule="auto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tyle26">
    <w:name w:val="Указатель"/>
    <w:basedOn w:val="Normal"/>
    <w:qFormat w:val="1"/>
    <w:pPr>
      <w:suppressLineNumbers w:val="1"/>
    </w:pPr>
    <w:rPr>
      <w:rFonts w:cs="Lucida Sans"/>
    </w:rPr>
  </w:style>
  <w:style w:type="paragraph" w:styleId="Style27">
    <w:name w:val="Верхний и нижний колонтитулы"/>
    <w:basedOn w:val="Normal"/>
    <w:qFormat w:val="1"/>
    <w:pPr/>
    <w:rPr/>
  </w:style>
  <w:style w:type="paragraph" w:styleId="Style28">
    <w:name w:val="Header"/>
    <w:basedOn w:val="Normal"/>
    <w:link w:val="a7"/>
    <w:unhideWhenUsed w:val="1"/>
    <w:rsid w:val="00C80CD1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/>
  </w:style>
  <w:style w:type="paragraph" w:styleId="Style29">
    <w:name w:val="Footer"/>
    <w:basedOn w:val="Normal"/>
    <w:link w:val="a9"/>
    <w:uiPriority w:val="99"/>
    <w:unhideWhenUsed w:val="1"/>
    <w:rsid w:val="00C80CD1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/>
  </w:style>
  <w:style w:type="paragraph" w:styleId="NormalWeb">
    <w:name w:val="Normal (Web)"/>
    <w:basedOn w:val="Normal"/>
    <w:uiPriority w:val="99"/>
    <w:unhideWhenUsed w:val="1"/>
    <w:qFormat w:val="1"/>
    <w:rsid w:val="00C80CD1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d"/>
    <w:uiPriority w:val="99"/>
    <w:semiHidden w:val="1"/>
    <w:unhideWhenUsed w:val="1"/>
    <w:qFormat w:val="1"/>
    <w:rsid w:val="007F4881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 w:val="1"/>
    <w:unhideWhenUsed w:val="1"/>
    <w:qFormat w:val="1"/>
    <w:rsid w:val="007F4881"/>
    <w:pPr/>
    <w:rPr>
      <w:b w:val="1"/>
      <w:bCs w:val="1"/>
    </w:rPr>
  </w:style>
  <w:style w:type="paragraph" w:styleId="BalloonText">
    <w:name w:val="Balloon Text"/>
    <w:basedOn w:val="Normal"/>
    <w:link w:val="af1"/>
    <w:uiPriority w:val="99"/>
    <w:semiHidden w:val="1"/>
    <w:unhideWhenUsed w:val="1"/>
    <w:qFormat w:val="1"/>
    <w:rsid w:val="007F4881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Revision">
    <w:name w:val="Revision"/>
    <w:uiPriority w:val="99"/>
    <w:semiHidden w:val="1"/>
    <w:qFormat w:val="1"/>
    <w:rsid w:val="00D93044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imchenkofoundation.org/activities/assistance/" TargetMode="External"/><Relationship Id="rId10" Type="http://schemas.openxmlformats.org/officeDocument/2006/relationships/hyperlink" Target="http://timchenkofoundation.org/" TargetMode="External"/><Relationship Id="rId13" Type="http://schemas.openxmlformats.org/officeDocument/2006/relationships/hyperlink" Target="http://timchenkofoundation.org/activities/sports/" TargetMode="External"/><Relationship Id="rId12" Type="http://schemas.openxmlformats.org/officeDocument/2006/relationships/hyperlink" Target="http://timchenkofoundation.org/activities/assistanc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brygorod.spb.ru/" TargetMode="External"/><Relationship Id="rId15" Type="http://schemas.openxmlformats.org/officeDocument/2006/relationships/hyperlink" Target="http://timchenkofoundation.org/activities/family/" TargetMode="External"/><Relationship Id="rId14" Type="http://schemas.openxmlformats.org/officeDocument/2006/relationships/hyperlink" Target="http://timchenkofoundation.org/activities/initiatives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vk.com/away.php?to=http%3A%2F%2Fsocial-innovations.ru%2F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analtseva@dobrygorod.spb.ru" TargetMode="External"/><Relationship Id="rId8" Type="http://schemas.openxmlformats.org/officeDocument/2006/relationships/hyperlink" Target="mailto:grants@dobrygorod.spb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ZBueMeTTJiMDw/vZgL0RwbQCQ==">AMUW2mWlwmrx/9wCP3S/DLYtRC2M6cfUddT7C9RkCylebDx+5nkPCZz3l6LvlSh4LMdEHMk8nTasr5tHH/40t0TpZhWMiUMlCPkSmYMYlTQ8baPoxy9hfqMK0G9UYa/7P8+fmwuglmGJ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2021-02-11T09:05:00Z</dcterms:created>
  <dc:creator>Канальцева Наталия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